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2" w:lineRule="exact"/>
        <w:jc w:val="left"/>
        <w:rPr>
          <w:rFonts w:ascii="黑体" w:hAnsi="宋体" w:eastAsia="黑体"/>
          <w:bCs/>
          <w:color w:val="FFFFFF"/>
          <w:kern w:val="0"/>
          <w:sz w:val="32"/>
          <w:szCs w:val="32"/>
        </w:rPr>
      </w:pPr>
      <w:bookmarkStart w:id="0" w:name="_GoBack"/>
      <w:bookmarkEnd w:id="0"/>
      <w:r>
        <w:rPr>
          <w:rFonts w:hint="eastAsia" w:ascii="黑体" w:hAnsi="宋体" w:eastAsia="黑体"/>
          <w:bCs/>
          <w:color w:val="FFFFFF"/>
          <w:kern w:val="0"/>
          <w:sz w:val="32"/>
          <w:szCs w:val="32"/>
        </w:rPr>
        <w:t xml:space="preserve">  件</w:t>
      </w:r>
    </w:p>
    <w:p>
      <w:pPr>
        <w:spacing w:line="662" w:lineRule="exact"/>
        <w:jc w:val="center"/>
        <w:rPr>
          <w:rFonts w:ascii="方正小标宋简体" w:hAnsi="宋体" w:eastAsia="方正小标宋简体"/>
          <w:b/>
          <w:bCs/>
          <w:color w:val="FF3300"/>
          <w:spacing w:val="105"/>
          <w:kern w:val="0"/>
          <w:sz w:val="52"/>
        </w:rPr>
      </w:pPr>
      <w:r>
        <w:rPr>
          <w:rFonts w:hint="eastAsia" w:ascii="方正小标宋简体" w:hAnsi="宋体" w:eastAsia="方正小标宋简体"/>
          <w:b/>
          <w:bCs/>
          <w:color w:val="FF3300"/>
          <w:spacing w:val="105"/>
          <w:kern w:val="0"/>
          <w:sz w:val="52"/>
        </w:rPr>
        <w:t>柳 城 县</w:t>
      </w:r>
    </w:p>
    <w:p>
      <w:pPr>
        <w:spacing w:line="662" w:lineRule="exact"/>
        <w:jc w:val="center"/>
        <w:rPr>
          <w:rFonts w:ascii="宋体" w:hAnsi="宋体"/>
          <w:b/>
          <w:bCs/>
          <w:color w:val="FF3300"/>
          <w:sz w:val="52"/>
        </w:rPr>
      </w:pPr>
    </w:p>
    <w:p>
      <w:pPr>
        <w:spacing w:line="1324" w:lineRule="exact"/>
        <w:jc w:val="center"/>
        <w:rPr>
          <w:rFonts w:ascii="方正小标宋简体" w:hAnsi="宋体" w:eastAsia="方正小标宋简体"/>
          <w:bCs/>
          <w:color w:val="FF3300"/>
          <w:sz w:val="110"/>
        </w:rPr>
      </w:pPr>
      <w:r>
        <w:rPr>
          <w:rFonts w:hint="eastAsia" w:ascii="方正小标宋简体" w:hAnsi="宋体" w:eastAsia="方正小标宋简体"/>
          <w:bCs/>
          <w:color w:val="FF3300"/>
          <w:kern w:val="0"/>
          <w:sz w:val="110"/>
        </w:rPr>
        <w:t>人民政府文件</w:t>
      </w:r>
    </w:p>
    <w:p>
      <w:pPr>
        <w:spacing w:line="560" w:lineRule="exact"/>
        <w:jc w:val="center"/>
        <w:rPr>
          <w:color w:val="FF3300"/>
          <w:sz w:val="52"/>
        </w:rPr>
      </w:pPr>
    </w:p>
    <w:p>
      <w:pPr>
        <w:spacing w:line="500" w:lineRule="exact"/>
        <w:jc w:val="center"/>
        <w:rPr>
          <w:rFonts w:ascii="仿宋_GB2312" w:eastAsia="仿宋_GB2312"/>
          <w:sz w:val="32"/>
        </w:rPr>
      </w:pPr>
      <w:r>
        <w:rPr>
          <w:rFonts w:hint="eastAsia" w:ascii="仿宋_GB2312" w:eastAsia="仿宋_GB2312"/>
          <w:sz w:val="32"/>
        </w:rPr>
        <w:t>柳城政</w:t>
      </w:r>
      <w:r>
        <w:rPr>
          <w:rFonts w:hint="eastAsia" w:ascii="仿宋_GB2312" w:eastAsia="仿宋_GB2312"/>
          <w:sz w:val="32"/>
          <w:lang w:val="en-US" w:eastAsia="zh-CN"/>
        </w:rPr>
        <w:t>规</w:t>
      </w:r>
      <w:r>
        <w:rPr>
          <w:rFonts w:hint="eastAsia" w:ascii="仿宋_GB2312" w:eastAsia="仿宋_GB2312"/>
          <w:sz w:val="32"/>
        </w:rPr>
        <w:t>〔2020〕</w:t>
      </w:r>
      <w:r>
        <w:rPr>
          <w:rFonts w:hint="eastAsia" w:ascii="仿宋_GB2312" w:eastAsia="仿宋_GB2312"/>
          <w:sz w:val="32"/>
          <w:lang w:val="en-US" w:eastAsia="zh-CN"/>
        </w:rPr>
        <w:t>xx</w:t>
      </w:r>
      <w:r>
        <w:rPr>
          <w:rFonts w:hint="eastAsia" w:ascii="仿宋_GB2312" w:eastAsia="仿宋_GB2312"/>
          <w:sz w:val="32"/>
        </w:rPr>
        <w:t>号</w:t>
      </w:r>
    </w:p>
    <w:p>
      <w:pPr>
        <w:spacing w:line="500" w:lineRule="exact"/>
        <w:jc w:val="center"/>
        <w:rPr>
          <w:rFonts w:hint="eastAsia" w:ascii="方正小标宋简体" w:hAnsi="宋体" w:eastAsia="方正小标宋简体"/>
          <w:sz w:val="44"/>
          <w:szCs w:val="44"/>
        </w:rPr>
      </w:pPr>
      <w:r>
        <w:rPr>
          <w:color w:val="FF3300"/>
          <w:sz w:val="52"/>
        </w:rPr>
        <mc:AlternateContent>
          <mc:Choice Requires="wps">
            <w:drawing>
              <wp:anchor distT="0" distB="0" distL="114300" distR="114300" simplePos="0" relativeHeight="251658240" behindDoc="0" locked="1" layoutInCell="0" allowOverlap="0">
                <wp:simplePos x="0" y="0"/>
                <wp:positionH relativeFrom="column">
                  <wp:posOffset>0</wp:posOffset>
                </wp:positionH>
                <wp:positionV relativeFrom="paragraph">
                  <wp:posOffset>151130</wp:posOffset>
                </wp:positionV>
                <wp:extent cx="5615940" cy="0"/>
                <wp:effectExtent l="0" t="13970" r="3810" b="24130"/>
                <wp:wrapNone/>
                <wp:docPr id="2" name="直接连接符 2"/>
                <wp:cNvGraphicFramePr/>
                <a:graphic xmlns:a="http://schemas.openxmlformats.org/drawingml/2006/main">
                  <a:graphicData uri="http://schemas.microsoft.com/office/word/2010/wordprocessingShape">
                    <wps:wsp>
                      <wps:cNvCnPr/>
                      <wps:spPr>
                        <a:xfrm>
                          <a:off x="0" y="0"/>
                          <a:ext cx="5615940" cy="0"/>
                        </a:xfrm>
                        <a:prstGeom prst="line">
                          <a:avLst/>
                        </a:prstGeom>
                        <a:ln w="28575" cap="flat" cmpd="sng">
                          <a:solidFill>
                            <a:srgbClr val="FF33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1.9pt;height:0pt;width:442.2pt;z-index:251658240;mso-width-relative:page;mso-height-relative:page;" filled="f" stroked="t" coordsize="21600,21600" o:allowincell="f" o:allowoverlap="f" o:gfxdata="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mwUUvVAAAABgEAAA8AAAAA&#10;AAAAAQAgAAAAIgAAAGRycy9kb3ducmV2LnhtbFBLAQIUABQAAAAIAIdO4kALU9qg3gEAAJcDAAAO&#10;AAAAAAAAAAEAIAAAACQBAABkcnMvZTJvRG9jLnhtbFBLBQYAAAAABgAGAFkBAAB0BQAAAAA=&#10;">
                <v:fill on="f" focussize="0,0"/>
                <v:stroke weight="2.25pt" color="#FF3300" joinstyle="round"/>
                <v:imagedata o:title=""/>
                <o:lock v:ext="edit" aspectratio="f"/>
                <w10:anchorlock/>
              </v:line>
            </w:pict>
          </mc:Fallback>
        </mc:AlternateContent>
      </w:r>
    </w:p>
    <w:p>
      <w:pPr>
        <w:spacing w:line="560" w:lineRule="exact"/>
        <w:jc w:val="center"/>
        <w:rPr>
          <w:rFonts w:hint="eastAsia" w:ascii="方正小标宋简体" w:hAnsi="宋体" w:eastAsia="方正小标宋简体"/>
          <w:color w:val="000000"/>
          <w:spacing w:val="-20"/>
          <w:sz w:val="44"/>
          <w:szCs w:val="44"/>
          <w:lang w:val="en-US" w:eastAsia="zh-CN"/>
        </w:rPr>
      </w:pPr>
    </w:p>
    <w:p>
      <w:pPr>
        <w:adjustRightInd w:val="0"/>
        <w:snapToGrid w:val="0"/>
        <w:spacing w:line="560" w:lineRule="exact"/>
        <w:ind w:firstLine="2640" w:firstLineChars="600"/>
        <w:jc w:val="both"/>
        <w:rPr>
          <w:rFonts w:ascii="Times New Roman" w:hAnsi="Times New Roman" w:eastAsia="方正小标宋简体"/>
          <w:color w:val="0C0C0C"/>
          <w:sz w:val="44"/>
          <w:szCs w:val="44"/>
        </w:rPr>
      </w:pPr>
      <w:r>
        <w:rPr>
          <w:rFonts w:hint="eastAsia" w:ascii="Times New Roman" w:hAnsi="Times New Roman" w:eastAsia="方正小标宋简体"/>
          <w:color w:val="0C0C0C"/>
          <w:sz w:val="44"/>
          <w:szCs w:val="44"/>
          <w:lang w:val="en-US" w:eastAsia="zh-CN"/>
        </w:rPr>
        <w:t>柳城县</w:t>
      </w:r>
      <w:r>
        <w:rPr>
          <w:rFonts w:ascii="Times New Roman" w:hAnsi="Times New Roman" w:eastAsia="方正小标宋简体"/>
          <w:color w:val="0C0C0C"/>
          <w:sz w:val="44"/>
          <w:szCs w:val="44"/>
        </w:rPr>
        <w:t>人民政府</w:t>
      </w:r>
    </w:p>
    <w:p>
      <w:pPr>
        <w:adjustRightInd w:val="0"/>
        <w:snapToGrid w:val="0"/>
        <w:spacing w:line="560" w:lineRule="exact"/>
        <w:jc w:val="center"/>
        <w:rPr>
          <w:rFonts w:ascii="Times New Roman" w:hAnsi="Times New Roman" w:eastAsia="方正小标宋简体"/>
          <w:color w:val="0C0C0C"/>
          <w:sz w:val="44"/>
          <w:szCs w:val="44"/>
        </w:rPr>
      </w:pPr>
      <w:r>
        <w:rPr>
          <w:rFonts w:ascii="Times New Roman" w:hAnsi="Times New Roman" w:eastAsia="方正小标宋简体"/>
          <w:color w:val="0C0C0C"/>
          <w:sz w:val="44"/>
          <w:szCs w:val="44"/>
        </w:rPr>
        <w:t>关于划定秸秆露天禁烧区域的通告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left"/>
        <w:rPr>
          <w:rFonts w:hint="eastAsia" w:ascii="仿宋_GB2312" w:hAnsi="宋体" w:eastAsia="仿宋_GB2312"/>
          <w:bCs/>
          <w:color w:val="000000"/>
          <w:kern w:val="0"/>
          <w:sz w:val="32"/>
          <w:szCs w:val="32"/>
          <w:lang w:val="en-US" w:eastAsia="zh-CN"/>
        </w:rPr>
      </w:pPr>
      <w:r>
        <w:rPr>
          <w:rFonts w:hint="eastAsia" w:ascii="仿宋_GB2312" w:eastAsia="仿宋_GB2312" w:cs="仿宋_GB2312"/>
          <w:sz w:val="32"/>
          <w:szCs w:val="32"/>
        </w:rPr>
        <w:t>各乡镇人民政府、华侨管理区，县人民政府各组成单位：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为进一步改善城市环境空气质量，保障人民群众身体健康，根据《中华人民共和国大气污染防治法》、《广西壮族自治区大气污染防治条例》、《柳州市秸秆禁烧管控及综合利用工作方案》（柳政规〔2019〕65号）、《柳州市人民政府关于划定秸秆露天禁烧区域的通告》（柳政规〔2019〕66号）等规定，结合我县实际，划定柳城县秸秆露天禁烧区域，现将有关事项通告如下：</w:t>
      </w:r>
    </w:p>
    <w:p>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黑体" w:hAnsi="黑体" w:eastAsia="黑体" w:cs="黑体"/>
          <w:b w:val="0"/>
          <w:bCs/>
          <w:color w:val="000000"/>
          <w:kern w:val="0"/>
          <w:sz w:val="32"/>
          <w:szCs w:val="32"/>
          <w:lang w:val="en-US" w:eastAsia="zh-CN"/>
        </w:rPr>
      </w:pPr>
      <w:r>
        <w:rPr>
          <w:rFonts w:hint="eastAsia" w:ascii="黑体" w:hAnsi="黑体" w:eastAsia="黑体" w:cs="黑体"/>
          <w:b w:val="0"/>
          <w:bCs/>
          <w:color w:val="000000"/>
          <w:kern w:val="0"/>
          <w:sz w:val="32"/>
          <w:szCs w:val="32"/>
          <w:lang w:val="en-US" w:eastAsia="zh-CN"/>
        </w:rPr>
        <w:t>禁止露天焚烧的秸秆种类</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0" w:firstLineChars="20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禁止露天焚烧的秸秆种类包括甘蔗、水稻、玉米、木薯、香蕉、油菜、桑枝及其他农作物收获籽实后的剩余物质，以及树枝叶、枯草等农林废弃物。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黑体" w:hAnsi="黑体" w:eastAsia="黑体" w:cs="黑体"/>
          <w:b w:val="0"/>
          <w:bCs/>
          <w:color w:val="000000"/>
          <w:kern w:val="0"/>
          <w:sz w:val="32"/>
          <w:szCs w:val="32"/>
          <w:lang w:val="en-US" w:eastAsia="zh-CN"/>
        </w:rPr>
      </w:pPr>
      <w:r>
        <w:rPr>
          <w:rFonts w:hint="eastAsia" w:ascii="黑体" w:hAnsi="黑体" w:eastAsia="黑体" w:cs="黑体"/>
          <w:b w:val="0"/>
          <w:bCs/>
          <w:color w:val="000000"/>
          <w:kern w:val="0"/>
          <w:sz w:val="32"/>
          <w:szCs w:val="32"/>
          <w:lang w:val="en-US" w:eastAsia="zh-CN"/>
        </w:rPr>
        <w:t>二、秸秆露天禁烧区域及限烧区域划定范围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　　</w:t>
      </w:r>
      <w:r>
        <w:rPr>
          <w:rFonts w:hint="eastAsia" w:ascii="楷体_GB2312" w:hAnsi="楷体_GB2312" w:eastAsia="楷体_GB2312" w:cs="楷体_GB2312"/>
          <w:bCs/>
          <w:color w:val="000000"/>
          <w:kern w:val="0"/>
          <w:sz w:val="32"/>
          <w:szCs w:val="32"/>
          <w:lang w:val="en-US" w:eastAsia="zh-CN"/>
        </w:rPr>
        <w:t>（一）禁烧区域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bCs/>
          <w:color w:val="000000" w:themeColor="text1"/>
          <w:kern w:val="0"/>
          <w:sz w:val="32"/>
          <w:szCs w:val="32"/>
          <w:lang w:val="en-US" w:eastAsia="zh-CN"/>
          <w14:textFill>
            <w14:solidFill>
              <w14:schemeClr w14:val="tx1"/>
            </w14:solidFill>
          </w14:textFill>
        </w:rPr>
      </w:pPr>
      <w:r>
        <w:rPr>
          <w:rFonts w:hint="eastAsia" w:ascii="仿宋_GB2312" w:hAnsi="宋体" w:eastAsia="仿宋_GB2312"/>
          <w:bCs/>
          <w:color w:val="000000"/>
          <w:kern w:val="0"/>
          <w:sz w:val="32"/>
          <w:szCs w:val="32"/>
          <w:lang w:val="en-US" w:eastAsia="zh-CN"/>
        </w:rPr>
        <w:t>　　1.大埔镇：</w:t>
      </w:r>
      <w:r>
        <w:rPr>
          <w:rFonts w:hint="eastAsia" w:ascii="仿宋_GB2312" w:hAnsi="宋体" w:eastAsia="仿宋_GB2312"/>
          <w:bCs/>
          <w:color w:val="000000" w:themeColor="text1"/>
          <w:sz w:val="32"/>
          <w:szCs w:val="32"/>
          <w14:textFill>
            <w14:solidFill>
              <w14:schemeClr w14:val="tx1"/>
            </w14:solidFill>
          </w14:textFill>
        </w:rPr>
        <w:t>城南社区、城北社区</w:t>
      </w:r>
      <w:r>
        <w:rPr>
          <w:rFonts w:hint="eastAsia" w:ascii="仿宋_GB2312" w:hAnsi="宋体" w:eastAsia="仿宋_GB2312"/>
          <w:bCs/>
          <w:color w:val="000000" w:themeColor="text1"/>
          <w:sz w:val="32"/>
          <w:szCs w:val="32"/>
          <w:lang w:eastAsia="zh-CN"/>
          <w14:textFill>
            <w14:solidFill>
              <w14:schemeClr w14:val="tx1"/>
            </w14:solidFill>
          </w14:textFill>
        </w:rPr>
        <w:t>、</w:t>
      </w:r>
      <w:r>
        <w:rPr>
          <w:rFonts w:hint="eastAsia" w:ascii="仿宋_GB2312" w:hAnsi="宋体" w:eastAsia="仿宋_GB2312"/>
          <w:bCs/>
          <w:color w:val="000000" w:themeColor="text1"/>
          <w:kern w:val="0"/>
          <w:sz w:val="32"/>
          <w:szCs w:val="32"/>
          <w:lang w:val="en-US" w:eastAsia="zh-CN"/>
          <w14:textFill>
            <w14:solidFill>
              <w14:schemeClr w14:val="tx1"/>
            </w14:solidFill>
          </w14:textFill>
        </w:rPr>
        <w:t>洛崖社区，六休、里明、中回、正殿、靖西、木桐、洛古、南村、洛崖、中寨、</w:t>
      </w:r>
      <w:r>
        <w:rPr>
          <w:rFonts w:hint="eastAsia" w:ascii="仿宋_GB2312" w:hAnsi="宋体" w:eastAsia="仿宋_GB2312"/>
          <w:bCs/>
          <w:color w:val="000000" w:themeColor="text1"/>
          <w:sz w:val="32"/>
          <w:szCs w:val="32"/>
          <w14:textFill>
            <w14:solidFill>
              <w14:schemeClr w14:val="tx1"/>
            </w14:solidFill>
          </w14:textFill>
        </w:rPr>
        <w:t>乐寨、三塘</w:t>
      </w:r>
      <w:r>
        <w:rPr>
          <w:rFonts w:hint="eastAsia" w:ascii="仿宋_GB2312" w:hAnsi="宋体" w:eastAsia="仿宋_GB2312"/>
          <w:bCs/>
          <w:color w:val="000000" w:themeColor="text1"/>
          <w:kern w:val="0"/>
          <w:sz w:val="32"/>
          <w:szCs w:val="32"/>
          <w:lang w:val="en-US" w:eastAsia="zh-CN"/>
          <w14:textFill>
            <w14:solidFill>
              <w14:schemeClr w14:val="tx1"/>
            </w14:solidFill>
          </w14:textFill>
        </w:rPr>
        <w:t>12个行政村，大埔镇林场和工业园区。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宋体" w:eastAsia="仿宋_GB2312"/>
          <w:bCs/>
          <w:color w:val="000000" w:themeColor="text1"/>
          <w:kern w:val="0"/>
          <w:sz w:val="32"/>
          <w:szCs w:val="32"/>
          <w:lang w:val="en-US" w:eastAsia="zh-CN"/>
          <w14:textFill>
            <w14:solidFill>
              <w14:schemeClr w14:val="tx1"/>
            </w14:solidFill>
          </w14:textFill>
        </w:rPr>
      </w:pPr>
      <w:r>
        <w:rPr>
          <w:rFonts w:hint="eastAsia" w:ascii="仿宋_GB2312" w:hAnsi="宋体" w:eastAsia="仿宋_GB2312"/>
          <w:bCs/>
          <w:color w:val="000000" w:themeColor="text1"/>
          <w:kern w:val="0"/>
          <w:sz w:val="32"/>
          <w:szCs w:val="32"/>
          <w:lang w:val="en-US" w:eastAsia="zh-CN"/>
          <w14:textFill>
            <w14:solidFill>
              <w14:schemeClr w14:val="tx1"/>
            </w14:solidFill>
          </w14:textFill>
        </w:rPr>
        <w:t>2.太平镇：上火、长岭、黄宜、近潭、杨梅、板贡6个行政村。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themeColor="text1"/>
          <w:kern w:val="0"/>
          <w:sz w:val="32"/>
          <w:szCs w:val="32"/>
          <w:lang w:val="en-US" w:eastAsia="zh-CN"/>
          <w14:textFill>
            <w14:solidFill>
              <w14:schemeClr w14:val="tx1"/>
            </w14:solidFill>
          </w14:textFill>
        </w:rPr>
        <w:t>3.沙埔镇：长隆村、</w:t>
      </w:r>
      <w:r>
        <w:rPr>
          <w:rFonts w:hint="eastAsia" w:ascii="仿宋_GB2312" w:hAnsi="宋体" w:eastAsia="仿宋_GB2312"/>
          <w:bCs/>
          <w:color w:val="000000" w:themeColor="text1"/>
          <w:sz w:val="32"/>
          <w:szCs w:val="32"/>
          <w14:textFill>
            <w14:solidFill>
              <w14:schemeClr w14:val="tx1"/>
            </w14:solidFill>
          </w14:textFill>
        </w:rPr>
        <w:t>大安村、沙埔村。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4.东泉镇：雷塘、前屯、碑塘、大樟、永安、对河、高田、尖石、螺田、走马、中段、西安、凉亭、黄塘14个行政村，东泉林场、柳城华侨农场。</w:t>
      </w:r>
    </w:p>
    <w:p>
      <w:pPr>
        <w:pStyle w:val="4"/>
        <w:widowControl/>
        <w:shd w:val="clear" w:color="auto" w:fill="FFFFFF"/>
        <w:spacing w:beforeAutospacing="0" w:afterAutospacing="0"/>
        <w:ind w:firstLine="640" w:firstLineChars="200"/>
        <w:rPr>
          <w:rFonts w:ascii="仿宋_GB2312" w:hAnsi="宋体" w:eastAsia="仿宋_GB2312"/>
          <w:bCs/>
          <w:color w:val="000000"/>
          <w:sz w:val="32"/>
          <w:szCs w:val="32"/>
        </w:rPr>
      </w:pPr>
      <w:r>
        <w:rPr>
          <w:rFonts w:hint="eastAsia" w:ascii="仿宋_GB2312" w:hAnsi="宋体" w:eastAsia="仿宋_GB2312"/>
          <w:bCs/>
          <w:color w:val="000000"/>
          <w:sz w:val="32"/>
          <w:szCs w:val="32"/>
          <w:lang w:val="en-US" w:eastAsia="zh-CN"/>
        </w:rPr>
        <w:t>5.</w:t>
      </w:r>
      <w:r>
        <w:rPr>
          <w:rFonts w:hint="eastAsia" w:ascii="仿宋_GB2312" w:hAnsi="宋体" w:eastAsia="仿宋_GB2312"/>
          <w:bCs/>
          <w:color w:val="000000"/>
          <w:sz w:val="32"/>
          <w:szCs w:val="32"/>
        </w:rPr>
        <w:t>凤山镇：头塘村、二塘村、旧县村、对河村。</w:t>
      </w:r>
    </w:p>
    <w:p>
      <w:pPr>
        <w:pStyle w:val="4"/>
        <w:widowControl/>
        <w:shd w:val="clear" w:color="auto" w:fill="FFFFFF"/>
        <w:spacing w:beforeAutospacing="0" w:afterAutospacing="0"/>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sz w:val="32"/>
          <w:szCs w:val="32"/>
        </w:rPr>
        <w:t>　　</w:t>
      </w:r>
      <w:r>
        <w:rPr>
          <w:rFonts w:hint="eastAsia" w:ascii="仿宋_GB2312" w:hAnsi="宋体" w:eastAsia="仿宋_GB2312"/>
          <w:bCs/>
          <w:color w:val="000000"/>
          <w:sz w:val="32"/>
          <w:szCs w:val="32"/>
          <w:lang w:val="en-US" w:eastAsia="zh-CN"/>
        </w:rPr>
        <w:t>6.</w:t>
      </w:r>
      <w:r>
        <w:rPr>
          <w:rFonts w:hint="eastAsia" w:ascii="仿宋_GB2312" w:hAnsi="宋体" w:eastAsia="仿宋_GB2312"/>
          <w:bCs/>
          <w:color w:val="000000"/>
          <w:sz w:val="32"/>
          <w:szCs w:val="32"/>
        </w:rPr>
        <w:t>路网禁烧区域：柳城县境内不在上述划定区域内的高速公路、铁路沿线两侧各</w:t>
      </w:r>
      <w:r>
        <w:rPr>
          <w:rFonts w:ascii="仿宋_GB2312" w:hAnsi="宋体" w:eastAsia="仿宋_GB2312"/>
          <w:bCs/>
          <w:color w:val="000000"/>
          <w:sz w:val="32"/>
          <w:szCs w:val="32"/>
        </w:rPr>
        <w:t>2</w:t>
      </w:r>
      <w:r>
        <w:rPr>
          <w:rFonts w:hint="eastAsia" w:ascii="仿宋_GB2312" w:hAnsi="宋体" w:eastAsia="仿宋_GB2312"/>
          <w:bCs/>
          <w:color w:val="000000"/>
          <w:sz w:val="32"/>
          <w:szCs w:val="32"/>
        </w:rPr>
        <w:t>公里，国、省道公路干线两侧各</w:t>
      </w:r>
      <w:r>
        <w:rPr>
          <w:rFonts w:ascii="仿宋_GB2312" w:hAnsi="宋体" w:eastAsia="仿宋_GB2312"/>
          <w:bCs/>
          <w:color w:val="000000"/>
          <w:sz w:val="32"/>
          <w:szCs w:val="32"/>
        </w:rPr>
        <w:t>1</w:t>
      </w:r>
      <w:r>
        <w:rPr>
          <w:rFonts w:hint="eastAsia" w:ascii="仿宋_GB2312" w:hAnsi="宋体" w:eastAsia="仿宋_GB2312"/>
          <w:bCs/>
          <w:color w:val="000000"/>
          <w:sz w:val="32"/>
          <w:szCs w:val="32"/>
        </w:rPr>
        <w:t>公里范围的区域。</w:t>
      </w:r>
      <w:r>
        <w:rPr>
          <w:rFonts w:hint="eastAsia" w:ascii="仿宋_GB2312" w:hAnsi="宋体" w:eastAsia="仿宋_GB2312"/>
          <w:bCs/>
          <w:color w:val="000000"/>
          <w:kern w:val="0"/>
          <w:sz w:val="32"/>
          <w:szCs w:val="32"/>
          <w:lang w:val="en-US" w:eastAsia="zh-CN"/>
        </w:rPr>
        <w:t>（上述行政区划或地名有变更的，以变更后的为准。）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楷体_GB2312" w:hAnsi="楷体_GB2312" w:eastAsia="楷体_GB2312" w:cs="楷体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　　</w:t>
      </w:r>
      <w:r>
        <w:rPr>
          <w:rFonts w:hint="eastAsia" w:ascii="楷体_GB2312" w:hAnsi="楷体_GB2312" w:eastAsia="楷体_GB2312" w:cs="楷体_GB2312"/>
          <w:bCs/>
          <w:color w:val="000000"/>
          <w:kern w:val="0"/>
          <w:sz w:val="32"/>
          <w:szCs w:val="32"/>
          <w:lang w:val="en-US" w:eastAsia="zh-CN"/>
        </w:rPr>
        <w:t>（二）限烧区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　　禁烧区以外的所有区域为限烧区。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黑体" w:hAnsi="黑体" w:eastAsia="黑体" w:cs="黑体"/>
          <w:bCs/>
          <w:color w:val="000000"/>
          <w:kern w:val="0"/>
          <w:sz w:val="32"/>
          <w:szCs w:val="32"/>
          <w:lang w:val="en-US" w:eastAsia="zh-CN"/>
        </w:rPr>
      </w:pPr>
      <w:r>
        <w:rPr>
          <w:rFonts w:hint="eastAsia" w:ascii="黑体" w:hAnsi="黑体" w:eastAsia="黑体" w:cs="黑体"/>
          <w:bCs/>
          <w:color w:val="000000"/>
          <w:kern w:val="0"/>
          <w:sz w:val="32"/>
          <w:szCs w:val="32"/>
          <w:lang w:val="en-US" w:eastAsia="zh-CN"/>
        </w:rPr>
        <w:t>三、禁烧区与限烧区管控要求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楷体_GB2312" w:hAnsi="楷体_GB2312" w:eastAsia="楷体_GB2312" w:cs="楷体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　　</w:t>
      </w:r>
      <w:r>
        <w:rPr>
          <w:rFonts w:hint="eastAsia" w:ascii="楷体_GB2312" w:hAnsi="楷体_GB2312" w:eastAsia="楷体_GB2312" w:cs="楷体_GB2312"/>
          <w:bCs/>
          <w:color w:val="000000"/>
          <w:kern w:val="0"/>
          <w:sz w:val="32"/>
          <w:szCs w:val="32"/>
          <w:lang w:val="en-US" w:eastAsia="zh-CN"/>
        </w:rPr>
        <w:t>（一）禁烧区管控要求执行最严厉的强制性禁烧政策，在任何时间段该区域都不允许进行秸秆露天焚烧。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bCs/>
          <w:color w:val="000000"/>
          <w:kern w:val="0"/>
          <w:sz w:val="32"/>
          <w:szCs w:val="32"/>
          <w:lang w:val="en-US" w:eastAsia="zh-CN"/>
        </w:rPr>
      </w:pPr>
      <w:r>
        <w:rPr>
          <w:rFonts w:hint="eastAsia" w:ascii="楷体_GB2312" w:hAnsi="楷体_GB2312" w:eastAsia="楷体_GB2312" w:cs="楷体_GB2312"/>
          <w:bCs/>
          <w:color w:val="000000"/>
          <w:kern w:val="0"/>
          <w:sz w:val="32"/>
          <w:szCs w:val="32"/>
          <w:lang w:val="en-US" w:eastAsia="zh-CN"/>
        </w:rPr>
        <w:t>　　（二）限烧区管控要求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　　1.符合以下环境条件之一的情况，限烧区内可根据规定有序进行秸秆焚烧：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　　（1）风速条件合适（大于2级，且小于5级），且空气质量较好（空气质量为优或者良）。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　　（2）未来一天有冷空气或未来8小时后有降雨的大气有利扩散条件。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　　（3）受强冷空气影响的当日或第二天（日降温幅度在6℃以上）。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　　（4）生态环境和气象部门确定的有利于秸秆焚烧烟气扩散和清除的天气。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　　2.分区域分时段进行露天焚烧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　　（1）以行政村为单位组织进行有序焚烧，防止大面积集中焚烧带来区域大气污染。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　　（2）秸秆焚烧时段应根据当地气象部门提供的气象条件研究确定。一般选择在上午10点到下午3点之间大气边界层较高（500米以上）的情况下进行焚烧，不在大气边界层较低的清晨、傍晚及夜间禁烧。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bCs/>
          <w:color w:val="000000"/>
          <w:kern w:val="0"/>
          <w:sz w:val="32"/>
          <w:szCs w:val="32"/>
          <w:lang w:val="en-US" w:eastAsia="zh-CN"/>
        </w:rPr>
      </w:pPr>
      <w:r>
        <w:rPr>
          <w:rFonts w:hint="eastAsia" w:ascii="仿宋_GB2312" w:hAnsi="宋体" w:eastAsia="仿宋_GB2312"/>
          <w:bCs/>
          <w:color w:val="000000"/>
          <w:kern w:val="0"/>
          <w:sz w:val="32"/>
          <w:szCs w:val="32"/>
          <w:lang w:val="en-US" w:eastAsia="zh-CN"/>
        </w:rPr>
        <w:t>　　（3）在柳州市启动污染天气预警期间，限烧区全面禁止露天秸秆焚烧。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both"/>
        <w:rPr>
          <w:rFonts w:hint="eastAsia" w:ascii="黑体" w:hAnsi="黑体" w:eastAsia="黑体" w:cs="黑体"/>
          <w:bCs/>
          <w:color w:val="000000"/>
          <w:kern w:val="0"/>
          <w:sz w:val="32"/>
          <w:szCs w:val="32"/>
          <w:lang w:val="en-US" w:eastAsia="zh-CN"/>
        </w:rPr>
      </w:pPr>
      <w:r>
        <w:rPr>
          <w:rFonts w:hint="eastAsia" w:ascii="黑体" w:hAnsi="黑体" w:eastAsia="黑体" w:cs="黑体"/>
          <w:bCs/>
          <w:color w:val="000000"/>
          <w:kern w:val="0"/>
          <w:sz w:val="32"/>
          <w:szCs w:val="32"/>
          <w:lang w:val="en-US" w:eastAsia="zh-CN"/>
        </w:rPr>
        <w:t>四、对违反本通告规定，在秸秆禁烧区内露天焚烧秸秆的行为，由县城市管理行政执法局依据《中华人民共和国大气污染防治法》第一百一十九条规定责令改正，并处五百元以上二千元以下的罚款。各乡镇（华侨管理区）人民政府负责本辖区内秸秆焚烧管控工作及污染天气时段秸秆焚烧行为的查处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黑体" w:hAnsi="黑体" w:eastAsia="黑体" w:cs="黑体"/>
          <w:bCs/>
          <w:color w:val="000000"/>
          <w:kern w:val="0"/>
          <w:sz w:val="32"/>
          <w:szCs w:val="32"/>
          <w:lang w:val="en-US" w:eastAsia="zh-CN"/>
        </w:rPr>
      </w:pPr>
      <w:r>
        <w:rPr>
          <w:rFonts w:hint="eastAsia" w:ascii="黑体" w:hAnsi="黑体" w:eastAsia="黑体" w:cs="黑体"/>
          <w:bCs/>
          <w:color w:val="000000"/>
          <w:kern w:val="0"/>
          <w:sz w:val="32"/>
          <w:szCs w:val="32"/>
          <w:lang w:val="en-US" w:eastAsia="zh-CN"/>
        </w:rPr>
        <w:t>　  五、柳城生态环境局、县委宣传部、县发展和改革局、县教育局、县科技工贸和信息化局、县财政局、县自然资源和规划局、县农业农村局、县城市管理行政执法局、县气象局和县消防大队等部门按照职责，加强对本通告划定区域内秸秆露天禁烧管控，共同推进秸秆禁烧和综合利用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黑体" w:hAnsi="黑体" w:eastAsia="黑体" w:cs="黑体"/>
          <w:bCs/>
          <w:color w:val="000000"/>
          <w:kern w:val="0"/>
          <w:sz w:val="32"/>
          <w:szCs w:val="32"/>
          <w:lang w:val="en-US" w:eastAsia="zh-CN"/>
        </w:rPr>
      </w:pPr>
      <w:r>
        <w:rPr>
          <w:rFonts w:hint="eastAsia" w:ascii="黑体" w:hAnsi="黑体" w:eastAsia="黑体" w:cs="黑体"/>
          <w:bCs/>
          <w:color w:val="000000"/>
          <w:kern w:val="0"/>
          <w:sz w:val="32"/>
          <w:szCs w:val="32"/>
          <w:lang w:val="en-US" w:eastAsia="zh-CN"/>
        </w:rPr>
        <w:t>六、本通告按照属地管理原则，由各乡镇（华侨管理区）人民政府具体组织实施。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黑体" w:hAnsi="黑体" w:eastAsia="黑体" w:cs="黑体"/>
          <w:bCs/>
          <w:color w:val="000000"/>
          <w:kern w:val="0"/>
          <w:sz w:val="32"/>
          <w:szCs w:val="32"/>
          <w:lang w:val="en-US" w:eastAsia="zh-CN"/>
        </w:rPr>
      </w:pPr>
      <w:r>
        <w:rPr>
          <w:rFonts w:hint="eastAsia" w:ascii="黑体" w:hAnsi="黑体" w:eastAsia="黑体" w:cs="黑体"/>
          <w:bCs/>
          <w:color w:val="000000"/>
          <w:kern w:val="0"/>
          <w:sz w:val="32"/>
          <w:szCs w:val="32"/>
          <w:lang w:val="en-US" w:eastAsia="zh-CN"/>
        </w:rPr>
        <w:t>七、本通告自2020年x月xx日起执行，有效期5年。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spacing w:line="560" w:lineRule="exact"/>
        <w:ind w:firstLine="200"/>
        <w:rPr>
          <w:rFonts w:hint="eastAsia" w:ascii="仿宋_GB2312" w:hAnsi="仿宋_GB2312" w:eastAsia="仿宋_GB2312" w:cs="仿宋_GB2312"/>
          <w:sz w:val="32"/>
          <w:szCs w:val="32"/>
        </w:rPr>
      </w:pPr>
      <w:r>
        <w:rPr>
          <w:rFonts w:hint="eastAsia" w:ascii="仿宋_GB2312" w:hAnsi="宋体" w:eastAsia="仿宋_GB2312"/>
          <w:bCs/>
          <w:color w:val="000000"/>
          <w:kern w:val="0"/>
          <w:sz w:val="32"/>
          <w:szCs w:val="32"/>
          <w:lang w:val="en-US" w:eastAsia="zh-CN"/>
        </w:rPr>
        <w:t xml:space="preserve">                          </w:t>
      </w:r>
      <w:r>
        <w:rPr>
          <w:rFonts w:hint="eastAsia" w:ascii="仿宋_GB2312" w:hAnsi="仿宋_GB2312" w:eastAsia="仿宋_GB2312" w:cs="仿宋_GB2312"/>
          <w:sz w:val="32"/>
          <w:szCs w:val="32"/>
        </w:rPr>
        <w:t xml:space="preserve">     </w:t>
      </w:r>
    </w:p>
    <w:p>
      <w:pPr>
        <w:spacing w:line="560" w:lineRule="exact"/>
        <w:ind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柳城县人民政府</w:t>
      </w:r>
    </w:p>
    <w:p>
      <w:pPr>
        <w:spacing w:line="560" w:lineRule="exact"/>
        <w:ind w:firstLine="5760" w:firstLineChars="1800"/>
        <w:rPr>
          <w:rFonts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x</w:t>
      </w:r>
      <w:r>
        <w:rPr>
          <w:rFonts w:hint="eastAsia" w:ascii="仿宋_GB2312" w:hAnsi="仿宋_GB2312" w:eastAsia="仿宋_GB2312" w:cs="仿宋_GB2312"/>
          <w:sz w:val="32"/>
          <w:szCs w:val="32"/>
        </w:rPr>
        <w:t>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r>
        <w:rPr>
          <w:rFonts w:hint="eastAsia" w:ascii="方正小标宋简体" w:hAnsi="方正小标宋简体" w:eastAsia="方正小标宋简体" w:cs="方正小标宋简体"/>
          <w:sz w:val="32"/>
          <w:szCs w:val="32"/>
        </w:rPr>
        <w:t>（公开方式：</w:t>
      </w:r>
      <w:r>
        <w:rPr>
          <w:rFonts w:hint="eastAsia" w:ascii="仿宋_GB2312" w:hAnsi="仿宋_GB2312" w:eastAsia="仿宋_GB2312" w:cs="仿宋_GB2312"/>
          <w:sz w:val="32"/>
          <w:szCs w:val="32"/>
        </w:rPr>
        <w:t>主动公开）</w:t>
      </w:r>
      <w:r>
        <w:rPr>
          <w:rFonts w:ascii="仿宋_GB2312" w:hAnsi="仿宋_GB2312" w:eastAsia="仿宋_GB2312" w:cs="仿宋_GB2312"/>
          <w:sz w:val="32"/>
          <w:szCs w:val="32"/>
        </w:rPr>
        <w:br w:type="page"/>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宋体" w:eastAsia="仿宋_GB2312"/>
          <w:bCs/>
          <w:color w:val="000000"/>
          <w:kern w:val="0"/>
          <w:sz w:val="32"/>
          <w:szCs w:val="32"/>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0" w:firstLineChars="1500"/>
        <w:jc w:val="left"/>
        <w:rPr>
          <w:rFonts w:hint="default" w:ascii="仿宋_GB2312" w:hAnsi="宋体" w:eastAsia="仿宋_GB2312"/>
          <w:bCs/>
          <w:color w:val="000000"/>
          <w:kern w:val="0"/>
          <w:sz w:val="32"/>
          <w:szCs w:val="32"/>
          <w:lang w:val="en-US" w:eastAsia="zh-CN"/>
        </w:rPr>
      </w:pPr>
    </w:p>
    <w:p>
      <w:pPr>
        <w:spacing w:line="560" w:lineRule="exact"/>
        <w:ind w:firstLine="300" w:firstLineChars="100"/>
        <w:rPr>
          <w:rFonts w:hint="eastAsia" w:ascii="仿宋_GB2312" w:hAnsi="Calibri" w:eastAsia="仿宋_GB2312" w:cs="Times New Roman"/>
          <w:sz w:val="30"/>
          <w:szCs w:val="30"/>
        </w:rPr>
      </w:pPr>
      <w:r>
        <w:rPr>
          <w:rFonts w:hint="eastAsia" w:ascii="仿宋_GB2312" w:hAnsi="Calibri" w:eastAsia="仿宋_GB2312" w:cs="Times New Roman"/>
          <w:sz w:val="30"/>
          <w:szCs w:val="30"/>
        </w:rPr>
        <mc:AlternateContent>
          <mc:Choice Requires="wps">
            <w:drawing>
              <wp:anchor distT="0" distB="0" distL="114300" distR="114300" simplePos="0" relativeHeight="251662336" behindDoc="0" locked="1" layoutInCell="1" allowOverlap="0">
                <wp:simplePos x="0" y="0"/>
                <wp:positionH relativeFrom="column">
                  <wp:posOffset>0</wp:posOffset>
                </wp:positionH>
                <wp:positionV relativeFrom="paragraph">
                  <wp:posOffset>0</wp:posOffset>
                </wp:positionV>
                <wp:extent cx="5615940" cy="0"/>
                <wp:effectExtent l="0" t="9525" r="3810" b="9525"/>
                <wp:wrapNone/>
                <wp:docPr id="6" name="直接连接符 6"/>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42.2pt;z-index:251662336;mso-width-relative:page;mso-height-relative:page;" filled="f" stroked="t" coordsize="21600,21600" o:allowoverlap="f" o:gfxdata="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Jryk90AAAAAIBAAAPAAAAAAAAAAEAIAAA&#10;ACIAAABkcnMvZG93bnJldi54bWxQSwECFAAUAAAACACHTuJAHKtFftsBAACXAwAADgAAAAAAAAAB&#10;ACAAAAAfAQAAZHJzL2Uyb0RvYy54bWxQSwUGAAAAAAYABgBZAQAAbAUAAAAA&#10;">
                <v:fill on="f" focussize="0,0"/>
                <v:stroke weight="1.5pt" color="#000000" joinstyle="round"/>
                <v:imagedata o:title=""/>
                <o:lock v:ext="edit" aspectratio="f"/>
                <w10:anchorlock/>
              </v:line>
            </w:pict>
          </mc:Fallback>
        </mc:AlternateContent>
      </w:r>
      <w:r>
        <w:rPr>
          <w:rFonts w:hint="eastAsia" w:ascii="仿宋_GB2312" w:hAnsi="Calibri" w:eastAsia="仿宋_GB2312" w:cs="Times New Roman"/>
          <w:sz w:val="30"/>
          <w:szCs w:val="30"/>
        </w:rPr>
        <w:t>抄送：县委各部门，各人民团体。</w:t>
      </w:r>
    </w:p>
    <w:p>
      <w:pPr>
        <w:spacing w:line="560" w:lineRule="exact"/>
        <w:ind w:firstLine="294" w:firstLineChars="98"/>
        <w:rPr>
          <w:rFonts w:hint="eastAsia" w:ascii="仿宋_GB2312" w:hAnsi="Calibri" w:eastAsia="仿宋_GB2312" w:cs="Times New Roman"/>
          <w:sz w:val="30"/>
          <w:szCs w:val="30"/>
        </w:rPr>
      </w:pPr>
      <w:r>
        <w:rPr>
          <w:rFonts w:hint="eastAsia" w:ascii="仿宋_GB2312" w:hAnsi="Calibri" w:eastAsia="仿宋_GB2312" w:cs="Times New Roman"/>
          <w:sz w:val="30"/>
          <w:szCs w:val="30"/>
        </w:rPr>
        <w:t xml:space="preserve">    县人大常委会办公室，县政协办公室，县法院，县检察院。</w:t>
      </w:r>
    </w:p>
    <w:p>
      <w:pPr>
        <w:spacing w:line="560" w:lineRule="exact"/>
        <w:ind w:firstLine="294" w:firstLineChars="98"/>
        <w:rPr>
          <w:rFonts w:hint="eastAsia" w:ascii="仿宋_GB2312" w:hAnsi="Calibri" w:eastAsia="仿宋_GB2312" w:cs="Times New Roman"/>
          <w:sz w:val="30"/>
          <w:szCs w:val="30"/>
        </w:rPr>
      </w:pPr>
      <w:r>
        <w:rPr>
          <w:rFonts w:hint="eastAsia" w:ascii="仿宋_GB2312" w:hAnsi="Calibri" w:eastAsia="仿宋_GB2312" w:cs="Times New Roman"/>
          <w:sz w:val="30"/>
          <w:szCs w:val="30"/>
        </w:rPr>
        <mc:AlternateContent>
          <mc:Choice Requires="wps">
            <w:drawing>
              <wp:anchor distT="0" distB="0" distL="114300" distR="114300" simplePos="0" relativeHeight="251660288" behindDoc="0" locked="1" layoutInCell="1" allowOverlap="0">
                <wp:simplePos x="0" y="0"/>
                <wp:positionH relativeFrom="column">
                  <wp:posOffset>0</wp:posOffset>
                </wp:positionH>
                <wp:positionV relativeFrom="paragraph">
                  <wp:posOffset>0</wp:posOffset>
                </wp:positionV>
                <wp:extent cx="5615940"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42.2pt;z-index:251660288;mso-width-relative:page;mso-height-relative:page;" filled="f" stroked="t" coordsize="21600,21600" o:allowoverlap="f" o:gfxdata="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sAm070wAAAAIBAAAPAAAAAAAAAAEA&#10;IAAAACIAAABkcnMvZG93bnJldi54bWxQSwECFAAUAAAACACHTuJAtS5KP9sBAACXAwAADgAAAAAA&#10;AAABACAAAAAiAQAAZHJzL2Uyb0RvYy54bWxQSwUGAAAAAAYABgBZAQAAbwUAAAAA&#10;">
                <v:fill on="f" focussize="0,0"/>
                <v:stroke weight="1pt" color="#000000" joinstyle="round"/>
                <v:imagedata o:title=""/>
                <o:lock v:ext="edit" aspectratio="f"/>
                <w10:anchorlock/>
              </v:line>
            </w:pict>
          </mc:Fallback>
        </mc:AlternateContent>
      </w:r>
      <w:r>
        <w:rPr>
          <w:rFonts w:hint="eastAsia" w:ascii="仿宋_GB2312" w:hAnsi="Calibri" w:eastAsia="仿宋_GB2312" w:cs="Times New Roman"/>
          <w:sz w:val="30"/>
          <w:szCs w:val="30"/>
        </w:rPr>
        <w:t>柳城县人民政府办公室             2020年</w:t>
      </w:r>
      <w:r>
        <w:rPr>
          <w:rFonts w:hint="eastAsia" w:ascii="仿宋_GB2312" w:hAnsi="Calibri" w:eastAsia="仿宋_GB2312" w:cs="Times New Roman"/>
          <w:sz w:val="30"/>
          <w:szCs w:val="30"/>
          <w:lang w:val="en-US" w:eastAsia="zh-CN"/>
        </w:rPr>
        <w:t>7</w:t>
      </w:r>
      <w:r>
        <w:rPr>
          <w:rFonts w:hint="eastAsia" w:ascii="仿宋_GB2312" w:hAnsi="Calibri" w:eastAsia="仿宋_GB2312" w:cs="Times New Roman"/>
          <w:sz w:val="30"/>
          <w:szCs w:val="30"/>
        </w:rPr>
        <w:t>月</w:t>
      </w:r>
      <w:r>
        <w:rPr>
          <w:rFonts w:hint="eastAsia" w:ascii="仿宋_GB2312" w:hAnsi="Calibri" w:eastAsia="仿宋_GB2312" w:cs="Times New Roman"/>
          <w:sz w:val="30"/>
          <w:szCs w:val="30"/>
          <w:lang w:val="en-US" w:eastAsia="zh-CN"/>
        </w:rPr>
        <w:t>xx</w:t>
      </w:r>
      <w:r>
        <w:rPr>
          <w:rFonts w:hint="eastAsia" w:ascii="仿宋_GB2312" w:hAnsi="Calibri" w:eastAsia="仿宋_GB2312" w:cs="Times New Roman"/>
          <w:sz w:val="30"/>
          <w:szCs w:val="30"/>
        </w:rPr>
        <w:t>日印发</w:t>
      </w:r>
      <w:r>
        <w:rPr>
          <w:rFonts w:hint="eastAsia" w:ascii="仿宋_GB2312" w:hAnsi="Calibri" w:eastAsia="仿宋_GB2312" w:cs="Times New Roman"/>
          <w:sz w:val="30"/>
          <w:szCs w:val="30"/>
        </w:rPr>
        <mc:AlternateContent>
          <mc:Choice Requires="wps">
            <w:drawing>
              <wp:anchor distT="0" distB="0" distL="114300" distR="114300" simplePos="0" relativeHeight="251661312" behindDoc="0" locked="1" layoutInCell="1" allowOverlap="0">
                <wp:simplePos x="0" y="0"/>
                <wp:positionH relativeFrom="column">
                  <wp:posOffset>0</wp:posOffset>
                </wp:positionH>
                <wp:positionV relativeFrom="paragraph">
                  <wp:posOffset>400685</wp:posOffset>
                </wp:positionV>
                <wp:extent cx="5615940" cy="0"/>
                <wp:effectExtent l="0" t="9525" r="3810" b="9525"/>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31.55pt;height:0pt;width:442.2pt;z-index:251661312;mso-width-relative:page;mso-height-relative:page;" filled="f" stroked="t" coordsize="21600,21600" o:allowoverlap="f" o:gfxdata="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PvXOt0wAAAAYBAAAPAAAAAAAAAAEA&#10;IAAAACIAAABkcnMvZG93bnJldi54bWxQSwECFAAUAAAACACHTuJAt2YiwdsBAACXAwAADgAAAAAA&#10;AAABACAAAAAiAQAAZHJzL2Uyb0RvYy54bWxQSwUGAAAAAAYABgBZAQAAbwUAAAAA&#10;">
                <v:fill on="f" focussize="0,0"/>
                <v:stroke weight="1.5pt" color="#000000" joinstyle="round"/>
                <v:imagedata o:title=""/>
                <o:lock v:ext="edit" aspectratio="f"/>
                <w10:anchorlock/>
              </v:line>
            </w:pict>
          </mc:Fallback>
        </mc:AlternateConten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bCs/>
          <w:color w:val="000000"/>
          <w:kern w:val="0"/>
          <w:sz w:val="32"/>
          <w:szCs w:val="32"/>
          <w:lang w:val="en-US" w:eastAsia="zh-CN"/>
        </w:rPr>
      </w:pPr>
      <w:r>
        <w:rPr>
          <w:rFonts w:hint="eastAsia" w:ascii="仿宋_GB2312" w:eastAsia="仿宋_GB2312"/>
          <w:sz w:val="30"/>
          <w:szCs w:val="30"/>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17EED"/>
    <w:multiLevelType w:val="singleLevel"/>
    <w:tmpl w:val="09C17EE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9C056A"/>
    <w:rsid w:val="120D4E78"/>
    <w:rsid w:val="19957BAE"/>
    <w:rsid w:val="1B045AB8"/>
    <w:rsid w:val="1BF87463"/>
    <w:rsid w:val="259F4C18"/>
    <w:rsid w:val="292D7301"/>
    <w:rsid w:val="29906431"/>
    <w:rsid w:val="2B9B690F"/>
    <w:rsid w:val="30AC5FB8"/>
    <w:rsid w:val="321E30DA"/>
    <w:rsid w:val="35755845"/>
    <w:rsid w:val="458165AA"/>
    <w:rsid w:val="4A260A75"/>
    <w:rsid w:val="4EB41622"/>
    <w:rsid w:val="51085DA7"/>
    <w:rsid w:val="51376FA3"/>
    <w:rsid w:val="5C982BAA"/>
    <w:rsid w:val="5E674549"/>
    <w:rsid w:val="69B54E1B"/>
    <w:rsid w:val="6AE96132"/>
    <w:rsid w:val="718C07E7"/>
    <w:rsid w:val="72C339EC"/>
    <w:rsid w:val="74216BF1"/>
    <w:rsid w:val="74872CCF"/>
    <w:rsid w:val="775944B9"/>
    <w:rsid w:val="79911D42"/>
    <w:rsid w:val="7B216688"/>
    <w:rsid w:val="7E4650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2020-07-03T01:11:00Z</dcterms:created>
  <dc:creator>Administrator</dc:creator>
  <cp:lastModifiedBy>环保局业务股</cp:lastModifiedBy>
  <cp:lastPrinted>2020-07-03T03:38:00Z</cp:lastPrinted>
  <dcterms:modified xsi:type="dcterms:W3CDTF">2020-07-08T00:52:24Z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